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535A" w14:textId="77777777" w:rsidR="0034176E" w:rsidRDefault="0034176E" w:rsidP="0034176E">
      <w:pPr>
        <w:spacing w:after="0" w:line="360" w:lineRule="auto"/>
        <w:jc w:val="both"/>
        <w:rPr>
          <w:rFonts w:ascii="IRNazanin" w:hAnsi="IRNazanin" w:cs="IRNazanin"/>
          <w:b/>
          <w:bCs/>
          <w:sz w:val="28"/>
          <w:szCs w:val="28"/>
        </w:rPr>
      </w:pPr>
      <w:r>
        <w:rPr>
          <w:rFonts w:ascii="IRNazanin" w:hAnsi="IRNazanin" w:cs="IRNazanin"/>
          <w:b/>
          <w:bCs/>
          <w:sz w:val="28"/>
          <w:szCs w:val="28"/>
          <w:rtl/>
        </w:rPr>
        <w:t>چکیده</w:t>
      </w:r>
      <w:r>
        <w:rPr>
          <w:rFonts w:ascii="IRNazanin" w:hAnsi="IRNazanin" w:cs="IRNazanin"/>
          <w:b/>
          <w:bCs/>
          <w:sz w:val="28"/>
          <w:szCs w:val="28"/>
        </w:rPr>
        <w:t xml:space="preserve"> </w:t>
      </w:r>
      <w:r>
        <w:rPr>
          <w:rFonts w:ascii="IRNazanin" w:hAnsi="IRNazanin" w:cs="IRNazanin"/>
          <w:b/>
          <w:bCs/>
          <w:sz w:val="28"/>
          <w:szCs w:val="28"/>
          <w:rtl/>
        </w:rPr>
        <w:t xml:space="preserve">  </w:t>
      </w:r>
    </w:p>
    <w:p w14:paraId="70266FF8" w14:textId="77777777" w:rsidR="0034176E" w:rsidRDefault="0034176E" w:rsidP="0034176E">
      <w:pPr>
        <w:spacing w:after="0" w:line="360" w:lineRule="auto"/>
        <w:jc w:val="both"/>
        <w:rPr>
          <w:rFonts w:ascii="IRNazanin" w:hAnsi="IRNazanin" w:cs="IRNazanin"/>
          <w:sz w:val="28"/>
          <w:szCs w:val="28"/>
        </w:rPr>
      </w:pPr>
      <w:r>
        <w:rPr>
          <w:rFonts w:ascii="IRNazanin" w:hAnsi="IRNazanin" w:cs="IRNazanin"/>
          <w:b/>
          <w:bCs/>
          <w:sz w:val="28"/>
          <w:szCs w:val="28"/>
          <w:rtl/>
        </w:rPr>
        <w:t xml:space="preserve">مقدمه و اهداف: </w:t>
      </w:r>
      <w:r>
        <w:rPr>
          <w:rFonts w:ascii="IRNazanin" w:hAnsi="IRNazanin" w:cs="IRNazanin"/>
          <w:sz w:val="28"/>
          <w:szCs w:val="28"/>
          <w:rtl/>
        </w:rPr>
        <w:t xml:space="preserve">زلزله، یکی از مخرب ترین مخاطرات طبیعی است. آنچه از این پدیده فاجعه می سازد نبود آمادگی کافی برای مقابله با آن است. عوامل متعددی بر آمادگی خانوارها در برابر زلزله تأثیر دارد. با توجه به عدم وجود ابزاری برای ارزیابی این عوامل، مطالعه  حاضر با هدف طراحی و اعتبارسنجی ابزار سنجش عوامل تأثیرگذار بر آمادگی خانوارها در برابر زلزله بر اساس نظریه شناختی-اجتماعی انجام شد. </w:t>
      </w:r>
    </w:p>
    <w:p w14:paraId="0DA279DA" w14:textId="77777777" w:rsidR="0034176E" w:rsidRDefault="0034176E" w:rsidP="0034176E">
      <w:pPr>
        <w:spacing w:after="0" w:line="360" w:lineRule="auto"/>
        <w:jc w:val="both"/>
        <w:rPr>
          <w:rFonts w:ascii="IRNazanin" w:hAnsi="IRNazanin" w:cs="IRNazanin"/>
          <w:color w:val="000000"/>
          <w:sz w:val="28"/>
          <w:szCs w:val="28"/>
          <w:rtl/>
        </w:rPr>
      </w:pPr>
      <w:r>
        <w:rPr>
          <w:rFonts w:ascii="IRNazanin" w:hAnsi="IRNazanin" w:cs="IRNazanin"/>
          <w:b/>
          <w:bCs/>
          <w:sz w:val="28"/>
          <w:szCs w:val="28"/>
          <w:rtl/>
        </w:rPr>
        <w:t>روش‌ها:</w:t>
      </w:r>
      <w:r>
        <w:rPr>
          <w:rFonts w:ascii="IRNazanin" w:hAnsi="IRNazanin" w:cs="IRNazanin"/>
          <w:color w:val="000000"/>
          <w:sz w:val="28"/>
          <w:szCs w:val="28"/>
          <w:rtl/>
        </w:rPr>
        <w:t xml:space="preserve"> پژوهش حاضر از نوع ترکیبی اکتشافی متوالی بود، که در سه مرحله مرور ساختارمند، کیفی و کمی انجام شد. ابتدا یک مرور ساختارمند به منظور شناسایی سازه های نظریه شناختی-اجتماعی که در تحقیقات مربوط به آمادگی خانوارها در برابر زلزله به کار رفته بودند، انجام شد. سپس، بر اساس سازه های شناسایی شده در مرحله مرور ساختارمند، سؤالات مصاحبه طرح شد و  با 48 نفر از سرپرستان خانوار (یا همسر آنها) مصاحبه انفرادی چهره به چهره صورت گرفت. با استفاده از تحلیل محتوای کیفی با رویکرد هدایت شده کدهای اولیه، کدهای اصلی، زیرطبقات و طبقات اصلی استخراج گردید</w:t>
      </w:r>
      <w:r>
        <w:rPr>
          <w:rFonts w:ascii="IRNazanin" w:hAnsi="IRNazanin" w:cs="IRNazanin"/>
          <w:color w:val="000000"/>
          <w:sz w:val="28"/>
          <w:szCs w:val="28"/>
          <w:highlight w:val="cyan"/>
          <w:rtl/>
        </w:rPr>
        <w:t>. در ادامه با استفاده از نتایج مرور ساختارمند و کدهای حاصل از مصاحبه ها و عبارات حاصل از متون و ابزارهای مشابه، گویه های اولیه ابزار مشخص گردید.</w:t>
      </w:r>
      <w:r>
        <w:rPr>
          <w:rFonts w:ascii="IRNazanin" w:hAnsi="IRNazanin" w:cs="IRNazanin"/>
          <w:color w:val="000000"/>
          <w:sz w:val="28"/>
          <w:szCs w:val="28"/>
          <w:rtl/>
        </w:rPr>
        <w:t xml:space="preserve"> در مرحله سوم که بخش کمی مطالعه بود، روایی و پایایی ابزار مورد سنجش قرار گرفت. ابتدا روایی صوری سپس روایی محتوای ابزار به دو روش کیفی و کمی سنجیده شد. در ادامه روایی سازه با استفاده از تحلیل عاملی اکتشافی و تأییدی انجام شد. همسانی درونی ابزار با استفاده از ضریب آلفای کرونباخ تعیین شد. ثبات ابزار نیز از طریق آزمون مجدد با آزمون همبستگی درون طبقه ای بر روی 36 نفر با فاصله زمانی دو هفته مورد سنجش قرار گرفت. </w:t>
      </w:r>
    </w:p>
    <w:p w14:paraId="2D29644E" w14:textId="77777777" w:rsidR="0034176E" w:rsidRDefault="0034176E" w:rsidP="0034176E">
      <w:pPr>
        <w:spacing w:line="360" w:lineRule="auto"/>
        <w:jc w:val="both"/>
        <w:rPr>
          <w:rFonts w:ascii="IRNazanin" w:hAnsi="IRNazanin" w:cs="IRNazanin"/>
          <w:sz w:val="28"/>
          <w:szCs w:val="28"/>
          <w:rtl/>
        </w:rPr>
      </w:pPr>
      <w:r>
        <w:rPr>
          <w:rFonts w:ascii="IRNazanin" w:hAnsi="IRNazanin" w:cs="IRNazanin"/>
          <w:b/>
          <w:bCs/>
          <w:sz w:val="28"/>
          <w:szCs w:val="28"/>
          <w:rtl/>
        </w:rPr>
        <w:t xml:space="preserve">یافته ها: </w:t>
      </w:r>
      <w:r>
        <w:rPr>
          <w:rFonts w:ascii="IRNazanin" w:hAnsi="IRNazanin" w:cs="IRNazanin"/>
          <w:sz w:val="28"/>
          <w:szCs w:val="28"/>
          <w:rtl/>
        </w:rPr>
        <w:t>در مرحله مرور ساختارمند، پس از جستجو در پایگاه های داده 9225 مقاله مرتبط یافت شد که در نهایت تعداد 28 مقاله (22 کمی و 6 کیفی) انتخاب شد. در مقالات بررسی شده، سازه های</w:t>
      </w:r>
      <w:r>
        <w:rPr>
          <w:rFonts w:ascii="IRNazanin" w:hAnsi="IRNazanin" w:cs="IRNazanin"/>
          <w:color w:val="000000"/>
          <w:sz w:val="28"/>
          <w:szCs w:val="28"/>
          <w:rtl/>
        </w:rPr>
        <w:t xml:space="preserve"> دانش، خودکارآمدی، حمایت اجتماعی، کارآمدی جمعی، انتظارات پیامد، قصد رفتاری و موانع و چالشها مورد استفاده قرار گرفته بود. </w:t>
      </w:r>
      <w:r>
        <w:rPr>
          <w:rFonts w:ascii="IRNazanin" w:hAnsi="IRNazanin" w:cs="IRNazanin"/>
          <w:sz w:val="28"/>
          <w:szCs w:val="28"/>
          <w:rtl/>
        </w:rPr>
        <w:t xml:space="preserve"> با مصاحبه خانوارها، عوامل مرتبط با آمادگی خانوارها در برابر زلزله تبیین گردید، و</w:t>
      </w:r>
      <w:r>
        <w:rPr>
          <w:rFonts w:ascii="IRNazanin" w:hAnsi="IRNazanin" w:cs="IRNazanin"/>
          <w:color w:val="000000" w:themeColor="text1"/>
          <w:sz w:val="28"/>
          <w:szCs w:val="28"/>
          <w:rtl/>
        </w:rPr>
        <w:t xml:space="preserve"> 110 کد اصلی در 8 طبقه اصلی و 28 زیر طبقه </w:t>
      </w:r>
      <w:r>
        <w:rPr>
          <w:rFonts w:ascii="IRNazanin" w:hAnsi="IRNazanin" w:cs="IRNazanin"/>
          <w:sz w:val="28"/>
          <w:szCs w:val="28"/>
          <w:rtl/>
        </w:rPr>
        <w:t>استخراج شد. بر اساس یافته‌های حاصل از مرحله اول و دوم مطالعه،  ابزاری با 88 گویه طراحی شد. سپس اعتبارسنجی ابزار انجام گرفت. روایی صوری و روایی محتوا (961/0) مورد تأیید قرار گرفت. با استفاده از تحلیل عاملی اکتشافی، هفت عامل مشارکت اجتماعی، قصد اقدامات آمادگی، دانش و آگاهی، خودکارآمدی، حمایت اجتماعی، کارآمدی جمعی و انگیزه برای اقدامات آمادگی با ارزش ویژه اولیه بالای 02/1 استخراج گردید. همسانی درونی (927/0) و همبستگی درون طبقه ای (934/0)</w:t>
      </w:r>
      <w:r>
        <w:rPr>
          <w:rFonts w:ascii="IRNazanin" w:hAnsi="IRNazanin" w:cs="IRNazanin"/>
          <w:sz w:val="28"/>
          <w:szCs w:val="28"/>
        </w:rPr>
        <w:t xml:space="preserve"> </w:t>
      </w:r>
      <w:r>
        <w:rPr>
          <w:rFonts w:ascii="IRNazanin" w:hAnsi="IRNazanin" w:cs="IRNazanin"/>
          <w:sz w:val="28"/>
          <w:szCs w:val="28"/>
          <w:rtl/>
        </w:rPr>
        <w:t xml:space="preserve">کل ابزار تأیید گردید. </w:t>
      </w:r>
      <w:r>
        <w:rPr>
          <w:rFonts w:ascii="IRNazanin" w:hAnsi="IRNazanin" w:cs="IRNazanin"/>
          <w:sz w:val="28"/>
          <w:szCs w:val="28"/>
          <w:rtl/>
        </w:rPr>
        <w:lastRenderedPageBreak/>
        <w:t xml:space="preserve">در فرایند روایی محتوا، پایایی مقدماتی و روایی سازه به ترتیب 21 ، 6 و 25 گویه حذف گردید. ابزار نهایی در دو بخش اطلاعات جمعیتی (12 سؤال) و عوامل تأثیرگذار بر آمادگی خانوارها در برابر زلزله با  36 گویه و هفت زیرمقیاس تنظیم گردید. </w:t>
      </w:r>
    </w:p>
    <w:p w14:paraId="27F9E273" w14:textId="77777777" w:rsidR="0034176E" w:rsidRDefault="0034176E" w:rsidP="0034176E">
      <w:pPr>
        <w:spacing w:after="0" w:line="360" w:lineRule="auto"/>
        <w:jc w:val="both"/>
        <w:rPr>
          <w:rFonts w:ascii="IRNazanin" w:hAnsi="IRNazanin" w:cs="IRNazanin"/>
          <w:sz w:val="28"/>
          <w:szCs w:val="28"/>
          <w:rtl/>
        </w:rPr>
      </w:pPr>
      <w:r>
        <w:rPr>
          <w:rFonts w:ascii="IRNazanin" w:hAnsi="IRNazanin" w:cs="IRNazanin"/>
          <w:b/>
          <w:bCs/>
          <w:sz w:val="28"/>
          <w:szCs w:val="28"/>
          <w:rtl/>
        </w:rPr>
        <w:t>بحث و نتیجه‌گیری:</w:t>
      </w:r>
      <w:r>
        <w:rPr>
          <w:rFonts w:ascii="IRNazanin" w:hAnsi="IRNazanin" w:cs="IRNazanin"/>
          <w:sz w:val="28"/>
          <w:szCs w:val="28"/>
          <w:rtl/>
        </w:rPr>
        <w:t xml:space="preserve"> مطابق با یافته های بخش کیفی، عوامل، چالشها و موانع زیادی در ارتباط با آمادگی خانوارها در برابر زلزله تبیین گردید. لذا یافته های این مطالعه می تواند مورد توجه تصمیم گیران قرار گیرد.</w:t>
      </w:r>
      <w:r>
        <w:rPr>
          <w:rFonts w:ascii="IRNazanin" w:hAnsi="IRNazanin" w:cs="IRNazanin"/>
          <w:b/>
          <w:bCs/>
          <w:sz w:val="28"/>
          <w:szCs w:val="28"/>
          <w:rtl/>
        </w:rPr>
        <w:t xml:space="preserve"> </w:t>
      </w:r>
      <w:r>
        <w:rPr>
          <w:rFonts w:ascii="IRNazanin" w:hAnsi="IRNazanin" w:cs="IRNazanin"/>
          <w:sz w:val="28"/>
          <w:szCs w:val="28"/>
          <w:rtl/>
        </w:rPr>
        <w:t xml:space="preserve">از آنجا که عوامل تأثیرگذار بر آمادگی خانوارها در برابر زلزله متعدد بوده و آمادگی خانوارها تحت تأثیر عوامل مختلف فردی، اجتماعی، فیزیکی و رفتاری قرار می گیرد، با استفاده از ابزار طراحی ‌شده‌ حاصل از این پژوهش می‌توان سطح آگاهی و دانش، خودکارآمدی، انگیزه اقدامات آمادگی، قصد اقدامات آمادگی، حمایت اجتماعی رسمی، مشارکت اجتماعی و کارآمدی جمعی مرتبط با آمادگی خانوارها در برابر زلزله را تعیین نمود، و با محوریت عواملی که بیشترین تأثیر را بر اقدامات آمادگی دارند، مداخلات مناسبی طراحی و اجرا کرد. </w:t>
      </w:r>
    </w:p>
    <w:p w14:paraId="38710EA6" w14:textId="77777777" w:rsidR="0034176E" w:rsidRDefault="0034176E" w:rsidP="0034176E">
      <w:pPr>
        <w:spacing w:after="0" w:line="360" w:lineRule="auto"/>
        <w:jc w:val="both"/>
        <w:rPr>
          <w:rFonts w:ascii="IRNazanin" w:hAnsi="IRNazanin" w:cs="IRNazanin"/>
          <w:sz w:val="28"/>
          <w:szCs w:val="28"/>
          <w:rtl/>
        </w:rPr>
      </w:pPr>
      <w:r>
        <w:rPr>
          <w:rFonts w:ascii="IRNazanin" w:hAnsi="IRNazanin" w:cs="IRNazanin"/>
          <w:b/>
          <w:bCs/>
          <w:sz w:val="28"/>
          <w:szCs w:val="28"/>
          <w:rtl/>
        </w:rPr>
        <w:t xml:space="preserve">کلمات کلیدی: </w:t>
      </w:r>
      <w:r>
        <w:rPr>
          <w:rFonts w:ascii="IRNazanin" w:hAnsi="IRNazanin" w:cs="IRNazanin"/>
          <w:sz w:val="28"/>
          <w:szCs w:val="28"/>
          <w:rtl/>
        </w:rPr>
        <w:t>طراحی، اعتبارسنجی</w:t>
      </w:r>
      <w:r>
        <w:rPr>
          <w:rFonts w:ascii="IRNazanin" w:hAnsi="IRNazanin" w:cs="IRNazanin"/>
          <w:b/>
          <w:bCs/>
          <w:sz w:val="28"/>
          <w:szCs w:val="28"/>
          <w:rtl/>
        </w:rPr>
        <w:t xml:space="preserve">، </w:t>
      </w:r>
      <w:r>
        <w:rPr>
          <w:rFonts w:ascii="IRNazanin" w:hAnsi="IRNazanin" w:cs="IRNazanin"/>
          <w:sz w:val="28"/>
          <w:szCs w:val="28"/>
          <w:rtl/>
        </w:rPr>
        <w:t>ابزار</w:t>
      </w:r>
      <w:r>
        <w:rPr>
          <w:rFonts w:ascii="IRNazanin" w:hAnsi="IRNazanin" w:cs="IRNazanin"/>
          <w:b/>
          <w:bCs/>
          <w:sz w:val="28"/>
          <w:szCs w:val="28"/>
          <w:rtl/>
        </w:rPr>
        <w:t xml:space="preserve">، </w:t>
      </w:r>
      <w:r>
        <w:rPr>
          <w:rFonts w:ascii="IRNazanin" w:hAnsi="IRNazanin" w:cs="IRNazanin"/>
          <w:sz w:val="28"/>
          <w:szCs w:val="28"/>
          <w:rtl/>
        </w:rPr>
        <w:t xml:space="preserve">آمادگی، خانوار، زلزله، نظریه شناختی-اجتماعی </w:t>
      </w:r>
    </w:p>
    <w:p w14:paraId="644BCAF9" w14:textId="77777777" w:rsidR="0034176E" w:rsidRDefault="0034176E" w:rsidP="0034176E"/>
    <w:p w14:paraId="0DEA4EF2" w14:textId="77777777" w:rsidR="0034176E" w:rsidRDefault="0034176E"/>
    <w:sectPr w:rsidR="0034176E" w:rsidSect="0031451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RNazanin">
    <w:altName w:val="Arial"/>
    <w:charset w:val="00"/>
    <w:family w:val="auto"/>
    <w:pitch w:val="variable"/>
    <w:sig w:usb0="00000000" w:usb1="00000000" w:usb2="00000000"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6E"/>
    <w:rsid w:val="00060116"/>
    <w:rsid w:val="00314519"/>
    <w:rsid w:val="003417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C19A"/>
  <w15:chartTrackingRefBased/>
  <w15:docId w15:val="{7BA5EE89-45C4-4ABF-A56D-F672DB3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6E"/>
    <w:pPr>
      <w:bidi/>
      <w:spacing w:line="256" w:lineRule="auto"/>
    </w:pPr>
    <w:rPr>
      <w:rFonts w:eastAsiaTheme="minorEastAsia"/>
      <w:kern w:val="0"/>
      <w:sz w:val="22"/>
      <w:szCs w:val="22"/>
      <w:lang w:eastAsia="ja-JP"/>
      <w14:ligatures w14:val="none"/>
    </w:rPr>
  </w:style>
  <w:style w:type="paragraph" w:styleId="Heading1">
    <w:name w:val="heading 1"/>
    <w:basedOn w:val="Normal"/>
    <w:next w:val="Normal"/>
    <w:link w:val="Heading1Char"/>
    <w:uiPriority w:val="9"/>
    <w:qFormat/>
    <w:rsid w:val="0034176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4176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4176E"/>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4176E"/>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4176E"/>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4176E"/>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4176E"/>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4176E"/>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4176E"/>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76E"/>
    <w:rPr>
      <w:rFonts w:eastAsiaTheme="majorEastAsia" w:cstheme="majorBidi"/>
      <w:color w:val="272727" w:themeColor="text1" w:themeTint="D8"/>
    </w:rPr>
  </w:style>
  <w:style w:type="paragraph" w:styleId="Title">
    <w:name w:val="Title"/>
    <w:basedOn w:val="Normal"/>
    <w:next w:val="Normal"/>
    <w:link w:val="TitleChar"/>
    <w:uiPriority w:val="10"/>
    <w:qFormat/>
    <w:rsid w:val="0034176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41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76E"/>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41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76E"/>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34176E"/>
    <w:rPr>
      <w:i/>
      <w:iCs/>
      <w:color w:val="404040" w:themeColor="text1" w:themeTint="BF"/>
    </w:rPr>
  </w:style>
  <w:style w:type="paragraph" w:styleId="ListParagraph">
    <w:name w:val="List Paragraph"/>
    <w:basedOn w:val="Normal"/>
    <w:uiPriority w:val="34"/>
    <w:qFormat/>
    <w:rsid w:val="0034176E"/>
    <w:pPr>
      <w:spacing w:line="278" w:lineRule="auto"/>
      <w:ind w:left="720"/>
      <w:contextualSpacing/>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34176E"/>
    <w:rPr>
      <w:i/>
      <w:iCs/>
      <w:color w:val="0F4761" w:themeColor="accent1" w:themeShade="BF"/>
    </w:rPr>
  </w:style>
  <w:style w:type="paragraph" w:styleId="IntenseQuote">
    <w:name w:val="Intense Quote"/>
    <w:basedOn w:val="Normal"/>
    <w:next w:val="Normal"/>
    <w:link w:val="IntenseQuoteChar"/>
    <w:uiPriority w:val="30"/>
    <w:qFormat/>
    <w:rsid w:val="003417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34176E"/>
    <w:rPr>
      <w:i/>
      <w:iCs/>
      <w:color w:val="0F4761" w:themeColor="accent1" w:themeShade="BF"/>
    </w:rPr>
  </w:style>
  <w:style w:type="character" w:styleId="IntenseReference">
    <w:name w:val="Intense Reference"/>
    <w:basedOn w:val="DefaultParagraphFont"/>
    <w:uiPriority w:val="32"/>
    <w:qFormat/>
    <w:rsid w:val="003417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nazari</dc:creator>
  <cp:keywords/>
  <dc:description/>
  <cp:lastModifiedBy>m nazari</cp:lastModifiedBy>
  <cp:revision>1</cp:revision>
  <dcterms:created xsi:type="dcterms:W3CDTF">2024-12-04T07:42:00Z</dcterms:created>
  <dcterms:modified xsi:type="dcterms:W3CDTF">2024-12-04T07:42:00Z</dcterms:modified>
</cp:coreProperties>
</file>